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A1BC23" w14:textId="1D9BF40E" w:rsidR="004267CE" w:rsidRDefault="004267CE" w:rsidP="004267CE">
      <w:pPr>
        <w:rPr>
          <w:b/>
          <w:bCs/>
          <w:sz w:val="32"/>
          <w:szCs w:val="32"/>
        </w:rPr>
      </w:pPr>
    </w:p>
    <w:p w14:paraId="1DB80954" w14:textId="77777777" w:rsidR="00681BB7" w:rsidRPr="00681BB7" w:rsidRDefault="00681BB7" w:rsidP="00681BB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681BB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The most overlooked Risk in Clinical Supply: a provocative take on data integrity and handoffs</w:t>
      </w:r>
    </w:p>
    <w:p w14:paraId="384A98BC" w14:textId="77777777" w:rsidR="00681BB7" w:rsidRPr="00681BB7" w:rsidRDefault="00681BB7" w:rsidP="00681BB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81BB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What if the biggest risk in your clinical supply chain isn’t forecasting, recruitment volatility, or vendor performance — but the silent erosion of data integrity every time information changes hands?</w:t>
      </w:r>
    </w:p>
    <w:p w14:paraId="20D22723" w14:textId="77777777" w:rsidR="00681BB7" w:rsidRPr="00681BB7" w:rsidRDefault="00681BB7" w:rsidP="00681BB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81BB7">
        <w:rPr>
          <w:rFonts w:ascii="Times New Roman" w:eastAsia="Times New Roman" w:hAnsi="Times New Roman" w:cs="Times New Roman"/>
          <w:kern w:val="0"/>
          <w14:ligatures w14:val="none"/>
        </w:rPr>
        <w:t>We talk endlessly about systems, platforms, and digital transformation. Yet the real cracks often appear in the mundane moments: a spreadsheet emailed instead of uploaded, a protocol amendment not fully cascaded, a depot update that lags by 48 hours, or a manual adjustment that never makes it back into the “source of truth.”</w:t>
      </w:r>
    </w:p>
    <w:p w14:paraId="39341E17" w14:textId="77777777" w:rsidR="00681BB7" w:rsidRPr="00681BB7" w:rsidRDefault="00681BB7" w:rsidP="00681BB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81BB7">
        <w:rPr>
          <w:rFonts w:ascii="Times New Roman" w:eastAsia="Times New Roman" w:hAnsi="Times New Roman" w:cs="Times New Roman"/>
          <w:kern w:val="0"/>
          <w14:ligatures w14:val="none"/>
        </w:rPr>
        <w:t>Each handoff introduces friction. Each friction point introduces interpretation. And interpretation is where risk quietly compounds.</w:t>
      </w:r>
    </w:p>
    <w:p w14:paraId="1F7330EC" w14:textId="77777777" w:rsidR="00681BB7" w:rsidRPr="00681BB7" w:rsidRDefault="00681BB7" w:rsidP="00681BB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81BB7">
        <w:rPr>
          <w:rFonts w:ascii="Times New Roman" w:eastAsia="Times New Roman" w:hAnsi="Times New Roman" w:cs="Times New Roman"/>
          <w:kern w:val="0"/>
          <w14:ligatures w14:val="none"/>
        </w:rPr>
        <w:t>In a global, multi</w:t>
      </w:r>
      <w:r w:rsidRPr="00681BB7">
        <w:rPr>
          <w:rFonts w:ascii="Times New Roman" w:eastAsia="Times New Roman" w:hAnsi="Times New Roman" w:cs="Times New Roman"/>
          <w:kern w:val="0"/>
          <w14:ligatures w14:val="none"/>
        </w:rPr>
        <w:noBreakHyphen/>
        <w:t xml:space="preserve">partner ecosystem, data doesn’t just move — it </w:t>
      </w:r>
      <w:r w:rsidRPr="00681BB7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mutates</w:t>
      </w:r>
      <w:r w:rsidRPr="00681BB7">
        <w:rPr>
          <w:rFonts w:ascii="Times New Roman" w:eastAsia="Times New Roman" w:hAnsi="Times New Roman" w:cs="Times New Roman"/>
          <w:kern w:val="0"/>
          <w14:ligatures w14:val="none"/>
        </w:rPr>
        <w:t>. By the time it reaches the decision</w:t>
      </w:r>
      <w:r w:rsidRPr="00681BB7">
        <w:rPr>
          <w:rFonts w:ascii="Times New Roman" w:eastAsia="Times New Roman" w:hAnsi="Times New Roman" w:cs="Times New Roman"/>
          <w:kern w:val="0"/>
          <w14:ligatures w14:val="none"/>
        </w:rPr>
        <w:noBreakHyphen/>
        <w:t>maker, it may be technically “accurate” but operationally misleading. That gap is where over</w:t>
      </w:r>
      <w:r w:rsidRPr="00681BB7">
        <w:rPr>
          <w:rFonts w:ascii="Times New Roman" w:eastAsia="Times New Roman" w:hAnsi="Times New Roman" w:cs="Times New Roman"/>
          <w:kern w:val="0"/>
          <w14:ligatures w14:val="none"/>
        </w:rPr>
        <w:noBreakHyphen/>
        <w:t>shipments, shortages, expiry exposure, and patient risk are born.</w:t>
      </w:r>
    </w:p>
    <w:p w14:paraId="21289C09" w14:textId="77777777" w:rsidR="00681BB7" w:rsidRPr="00681BB7" w:rsidRDefault="00681BB7" w:rsidP="00681BB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81BB7">
        <w:rPr>
          <w:rFonts w:ascii="Times New Roman" w:eastAsia="Times New Roman" w:hAnsi="Times New Roman" w:cs="Times New Roman"/>
          <w:kern w:val="0"/>
          <w14:ligatures w14:val="none"/>
        </w:rPr>
        <w:t>The organizations that win aren’t the ones with the most tools. They’re the ones with the cleanest handoffs, the clearest ownership, and the discipline to protect data integrity as a strategic asset — not an afterthought.</w:t>
      </w:r>
    </w:p>
    <w:p w14:paraId="2DF6D7FE" w14:textId="77777777" w:rsidR="00681BB7" w:rsidRPr="00681BB7" w:rsidRDefault="00681BB7" w:rsidP="00681BB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81BB7">
        <w:rPr>
          <w:rFonts w:ascii="Times New Roman" w:eastAsia="Times New Roman" w:hAnsi="Times New Roman" w:cs="Times New Roman"/>
          <w:kern w:val="0"/>
          <w14:ligatures w14:val="none"/>
        </w:rPr>
        <w:t>If we want to elevate clinical supply, we must stop treating data as a byproduct of operations and start treating it as the backbone of risk management.</w:t>
      </w:r>
    </w:p>
    <w:p w14:paraId="71C8F321" w14:textId="77777777" w:rsidR="00681BB7" w:rsidRPr="00681BB7" w:rsidRDefault="00681BB7" w:rsidP="00681BB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81BB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Because the real risk isn’t bad data — it’s data that was good three handoffs ago.</w:t>
      </w:r>
    </w:p>
    <w:p w14:paraId="45241A3F" w14:textId="77777777" w:rsidR="00681BB7" w:rsidRPr="00681BB7" w:rsidRDefault="00681BB7" w:rsidP="00681BB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681BB7">
        <w:rPr>
          <w:rFonts w:ascii="Times New Roman" w:eastAsia="Times New Roman" w:hAnsi="Times New Roman" w:cs="Times New Roman"/>
          <w:kern w:val="0"/>
          <w14:ligatures w14:val="none"/>
        </w:rPr>
        <w:t>#ClinicalSupplyChain #ClinicalTrials #SupplyChainExcellence #PharmaLeadership #DataIntegrity #RiskManagement #LifeSciences</w:t>
      </w:r>
    </w:p>
    <w:p w14:paraId="795731D9" w14:textId="02EE847F" w:rsidR="00681BB7" w:rsidRPr="004267CE" w:rsidRDefault="00681BB7" w:rsidP="004267CE">
      <w:pPr>
        <w:rPr>
          <w:b/>
          <w:bCs/>
          <w:sz w:val="32"/>
          <w:szCs w:val="32"/>
        </w:rPr>
      </w:pPr>
      <w:r w:rsidRPr="004267CE">
        <w:rPr>
          <w:b/>
          <w:bCs/>
          <w:noProof/>
          <w:sz w:val="32"/>
          <w:szCs w:val="32"/>
        </w:rPr>
        <w:drawing>
          <wp:inline distT="0" distB="0" distL="0" distR="0" wp14:anchorId="135DB396" wp14:editId="3462DFA2">
            <wp:extent cx="655320" cy="576276"/>
            <wp:effectExtent l="0" t="0" r="0" b="0"/>
            <wp:docPr id="65338991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601" cy="596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81BB7" w:rsidRPr="004267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C85"/>
    <w:rsid w:val="00176FEC"/>
    <w:rsid w:val="00244EEB"/>
    <w:rsid w:val="003C6282"/>
    <w:rsid w:val="004267CE"/>
    <w:rsid w:val="00567460"/>
    <w:rsid w:val="00681BB7"/>
    <w:rsid w:val="008D3C85"/>
    <w:rsid w:val="00956586"/>
    <w:rsid w:val="00A04FBD"/>
    <w:rsid w:val="00DC0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9A6C5"/>
  <w15:chartTrackingRefBased/>
  <w15:docId w15:val="{1C22028E-5B09-429B-B28C-5547A72DB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3C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3C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3C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3C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3C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3C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3C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3C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3C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3C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3C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3C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3C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3C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3C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3C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3C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3C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3C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3C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3C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3C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3C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3C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3C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3C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3C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3C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3C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240</Words>
  <Characters>1370</Characters>
  <Application>Microsoft Office Word</Application>
  <DocSecurity>0</DocSecurity>
  <Lines>11</Lines>
  <Paragraphs>3</Paragraphs>
  <ScaleCrop>false</ScaleCrop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Hernandez</dc:creator>
  <cp:keywords/>
  <dc:description/>
  <cp:lastModifiedBy>Juan Hernandez</cp:lastModifiedBy>
  <cp:revision>2</cp:revision>
  <dcterms:created xsi:type="dcterms:W3CDTF">2026-02-10T15:15:00Z</dcterms:created>
  <dcterms:modified xsi:type="dcterms:W3CDTF">2026-02-10T15:15:00Z</dcterms:modified>
</cp:coreProperties>
</file>